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F20" w:rsidRPr="008D3F20" w:rsidRDefault="008D3F20" w:rsidP="008D3F20">
      <w:pPr>
        <w:pStyle w:val="Default"/>
        <w:jc w:val="center"/>
      </w:pPr>
      <w:r w:rsidRPr="008D3F20">
        <w:rPr>
          <w:b/>
          <w:bCs/>
        </w:rPr>
        <w:t xml:space="preserve">ОТЧЕТ О РЕЗУЛЬТАТАХ САМООБСЛЕДОВАНИЯ ЦЕНТРА ВСЕСТОРОННЕГО РАЗВИТИЯ </w:t>
      </w:r>
      <w:r w:rsidRPr="008D3F20">
        <w:rPr>
          <w:b/>
          <w:bCs/>
          <w:lang w:val="en-US"/>
        </w:rPr>
        <w:t>POLYGLOT</w:t>
      </w:r>
    </w:p>
    <w:p w:rsidR="000D3756" w:rsidRPr="008D3F20" w:rsidRDefault="008D3F20" w:rsidP="008D3F2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D3F20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Pr="008D3F20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 w:rsidRPr="008D3F20">
        <w:rPr>
          <w:rFonts w:ascii="Times New Roman" w:hAnsi="Times New Roman" w:cs="Times New Roman"/>
          <w:b/>
          <w:bCs/>
          <w:sz w:val="24"/>
          <w:szCs w:val="24"/>
        </w:rPr>
        <w:t>-201</w:t>
      </w:r>
      <w:r w:rsidRPr="008D3F20">
        <w:rPr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  <w:r w:rsidRPr="008D3F20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8D3F20" w:rsidRPr="008D3F20" w:rsidRDefault="008D3F20" w:rsidP="008D3F20">
      <w:pPr>
        <w:pStyle w:val="Default"/>
      </w:pPr>
    </w:p>
    <w:p w:rsidR="008D3F20" w:rsidRPr="008D3F20" w:rsidRDefault="008D3F20" w:rsidP="008D3F20">
      <w:pPr>
        <w:pStyle w:val="Default"/>
      </w:pPr>
      <w:r w:rsidRPr="008D3F20">
        <w:t xml:space="preserve"> </w:t>
      </w:r>
      <w:r w:rsidRPr="008D3F20">
        <w:rPr>
          <w:b/>
          <w:bCs/>
        </w:rPr>
        <w:t xml:space="preserve">I. Аналитическая часть </w:t>
      </w:r>
    </w:p>
    <w:p w:rsidR="008D3F20" w:rsidRPr="008D3F20" w:rsidRDefault="008D3F20" w:rsidP="008D3F20">
      <w:pPr>
        <w:pStyle w:val="Default"/>
      </w:pPr>
      <w:r w:rsidRPr="008D3F20">
        <w:t xml:space="preserve">1. </w:t>
      </w:r>
      <w:r w:rsidRPr="008D3F20">
        <w:rPr>
          <w:b/>
          <w:bCs/>
        </w:rPr>
        <w:t xml:space="preserve">Общая характеристика Центра всестороннего развития </w:t>
      </w:r>
      <w:r w:rsidRPr="008D3F20">
        <w:rPr>
          <w:b/>
          <w:bCs/>
          <w:lang w:val="en-US"/>
        </w:rPr>
        <w:t>Polyglot</w:t>
      </w:r>
    </w:p>
    <w:p w:rsidR="008D3F20" w:rsidRPr="008D3F20" w:rsidRDefault="008D3F20" w:rsidP="008D3F20">
      <w:pPr>
        <w:pStyle w:val="Default"/>
      </w:pPr>
      <w:r w:rsidRPr="008D3F20">
        <w:t>Руководитель: Сафонова Наталья Николаевна</w:t>
      </w:r>
    </w:p>
    <w:p w:rsidR="008D3F20" w:rsidRPr="008D3F20" w:rsidRDefault="008D3F20" w:rsidP="008D3F20">
      <w:pPr>
        <w:pStyle w:val="Default"/>
      </w:pPr>
      <w:r w:rsidRPr="008D3F20">
        <w:t>Юридический адрес: 166000 Ненецкий АО, г.Нарьян-Мар, ул. им.В.И.Ленина,д.41, корп.Б, кв.3</w:t>
      </w:r>
    </w:p>
    <w:p w:rsidR="008D3F20" w:rsidRPr="008D3F20" w:rsidRDefault="008D3F20" w:rsidP="008D3F20">
      <w:pPr>
        <w:pStyle w:val="Default"/>
      </w:pPr>
      <w:r w:rsidRPr="008D3F20">
        <w:t>Фактический адрес: 166000 Ненецкий АО, г.Нарьян-Мар, ул. им.Ненецкая,д.14, помещение 6</w:t>
      </w:r>
    </w:p>
    <w:p w:rsidR="008D3F20" w:rsidRPr="008D3F20" w:rsidRDefault="008D3F20" w:rsidP="008D3F20">
      <w:pPr>
        <w:pStyle w:val="Default"/>
      </w:pPr>
      <w:r w:rsidRPr="008D3F20">
        <w:t xml:space="preserve">Телефон: +7 (911) 654 83 03 </w:t>
      </w:r>
    </w:p>
    <w:p w:rsidR="008D3F20" w:rsidRPr="008D3F20" w:rsidRDefault="008D3F20" w:rsidP="008D3F20">
      <w:pPr>
        <w:pStyle w:val="Default"/>
      </w:pPr>
      <w:proofErr w:type="spellStart"/>
      <w:r w:rsidRPr="008D3F20">
        <w:t>e-mail</w:t>
      </w:r>
      <w:proofErr w:type="spellEnd"/>
      <w:r w:rsidRPr="008D3F20">
        <w:t xml:space="preserve">: </w:t>
      </w:r>
      <w:r w:rsidRPr="008D3F20">
        <w:rPr>
          <w:lang w:val="en-US"/>
        </w:rPr>
        <w:t>polyglot</w:t>
      </w:r>
      <w:r w:rsidRPr="008D3F20">
        <w:t xml:space="preserve">83@mail.ru </w:t>
      </w:r>
    </w:p>
    <w:p w:rsidR="008D3F20" w:rsidRPr="008D3F20" w:rsidRDefault="008D3F20" w:rsidP="008D3F20">
      <w:pPr>
        <w:pStyle w:val="Default"/>
      </w:pPr>
      <w:r w:rsidRPr="008D3F20">
        <w:t xml:space="preserve">Страница в интернете: </w:t>
      </w:r>
      <w:hyperlink r:id="rId4" w:history="1">
        <w:r w:rsidRPr="008D3F20">
          <w:rPr>
            <w:rStyle w:val="a3"/>
          </w:rPr>
          <w:t>https://polyglot.profiedu.ru/</w:t>
        </w:r>
      </w:hyperlink>
    </w:p>
    <w:p w:rsidR="008D3F20" w:rsidRPr="008D3F20" w:rsidRDefault="008D3F20" w:rsidP="008D3F20">
      <w:pPr>
        <w:pStyle w:val="Default"/>
      </w:pPr>
      <w:r w:rsidRPr="008D3F20">
        <w:t xml:space="preserve">ИНН: </w:t>
      </w:r>
      <w:r w:rsidRPr="008D3F20">
        <w:rPr>
          <w:u w:val="single"/>
        </w:rPr>
        <w:t>298304300300</w:t>
      </w:r>
    </w:p>
    <w:p w:rsidR="008D3F20" w:rsidRPr="008D3F20" w:rsidRDefault="008D3F20" w:rsidP="008D3F20">
      <w:pPr>
        <w:pStyle w:val="Default"/>
      </w:pPr>
      <w:r w:rsidRPr="008D3F20">
        <w:t xml:space="preserve">ОГРНИП: </w:t>
      </w:r>
      <w:r w:rsidRPr="008D3F20">
        <w:rPr>
          <w:rStyle w:val="a4"/>
          <w:u w:val="single"/>
        </w:rPr>
        <w:t>315290100013051</w:t>
      </w:r>
    </w:p>
    <w:p w:rsidR="008D3F20" w:rsidRPr="008D3F20" w:rsidRDefault="008D3F20" w:rsidP="008D3F20">
      <w:pPr>
        <w:pStyle w:val="Default"/>
      </w:pPr>
      <w:r w:rsidRPr="008D3F20">
        <w:t>Организационно-правовая форма: Индивидуальный предприниматель</w:t>
      </w:r>
    </w:p>
    <w:p w:rsidR="008D3F20" w:rsidRPr="008D3F20" w:rsidRDefault="008D3F20" w:rsidP="008D3F20">
      <w:pPr>
        <w:pStyle w:val="Default"/>
      </w:pPr>
      <w:r w:rsidRPr="008D3F20">
        <w:t xml:space="preserve">Полное название: Индивидуальный предприниматель Сафонова Наталья Николаевна. Центр всестороннего развития </w:t>
      </w:r>
      <w:r w:rsidRPr="008D3F20">
        <w:rPr>
          <w:lang w:val="en-US"/>
        </w:rPr>
        <w:t>Polyglot</w:t>
      </w:r>
      <w:r w:rsidRPr="008D3F20">
        <w:t xml:space="preserve"> </w:t>
      </w:r>
    </w:p>
    <w:p w:rsidR="008D3F20" w:rsidRPr="008D3F20" w:rsidRDefault="008D3F20" w:rsidP="008D3F20">
      <w:pPr>
        <w:pStyle w:val="Default"/>
      </w:pPr>
      <w:r w:rsidRPr="008D3F20">
        <w:t xml:space="preserve">Сокращенная форма: ЦВР </w:t>
      </w:r>
      <w:r w:rsidRPr="008D3F20">
        <w:rPr>
          <w:lang w:val="en-US"/>
        </w:rPr>
        <w:t>Polyglot</w:t>
      </w:r>
      <w:r w:rsidRPr="008D3F20">
        <w:t xml:space="preserve"> (далее Учреждение). </w:t>
      </w:r>
    </w:p>
    <w:p w:rsidR="008D3F20" w:rsidRPr="008D3F20" w:rsidRDefault="008D3F20" w:rsidP="008D3F20">
      <w:pPr>
        <w:pStyle w:val="Default"/>
      </w:pPr>
      <w:r w:rsidRPr="008D3F20">
        <w:t xml:space="preserve">Учреждение осуществляет образовательную деятельность в соответствии с лицензией на право осуществления образовательной деятельности № 100, выданной Департаментом образования, культуры и спорта НАО  «12» августа 2016 г.  </w:t>
      </w:r>
    </w:p>
    <w:p w:rsidR="008D3F20" w:rsidRPr="008D3F20" w:rsidRDefault="008D3F20" w:rsidP="008D3F20">
      <w:pPr>
        <w:pStyle w:val="Default"/>
        <w:rPr>
          <w:b/>
          <w:bCs/>
        </w:rPr>
      </w:pPr>
    </w:p>
    <w:p w:rsidR="008D3F20" w:rsidRDefault="008D3F20" w:rsidP="008D3F20">
      <w:pPr>
        <w:pStyle w:val="Default"/>
      </w:pPr>
      <w:r w:rsidRPr="008D3F20">
        <w:rPr>
          <w:b/>
          <w:bCs/>
        </w:rPr>
        <w:t xml:space="preserve">2. Основное направление образовательной деятельности: </w:t>
      </w:r>
      <w:r w:rsidRPr="008D3F20">
        <w:t>обучение иностранным языкам детей и взрослых.</w:t>
      </w:r>
    </w:p>
    <w:p w:rsidR="008D3F20" w:rsidRDefault="008D3F20" w:rsidP="008D3F20">
      <w:pPr>
        <w:pStyle w:val="Default"/>
      </w:pPr>
    </w:p>
    <w:p w:rsidR="008D3F20" w:rsidRDefault="008D3F20" w:rsidP="008D3F20">
      <w:pPr>
        <w:pStyle w:val="Default"/>
        <w:rPr>
          <w:b/>
          <w:bCs/>
        </w:rPr>
      </w:pPr>
      <w:r w:rsidRPr="008D3F20">
        <w:rPr>
          <w:b/>
          <w:bCs/>
        </w:rPr>
        <w:t>3. Формы получения дополнительного образования:</w:t>
      </w:r>
    </w:p>
    <w:p w:rsidR="008D3F20" w:rsidRPr="008D3F20" w:rsidRDefault="008D3F20" w:rsidP="008D3F20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1"/>
        <w:gridCol w:w="4781"/>
      </w:tblGrid>
      <w:tr w:rsidR="008D3F20" w:rsidRPr="008D3F20" w:rsidTr="008D3F20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4781" w:type="dxa"/>
          </w:tcPr>
          <w:p w:rsidR="008D3F20" w:rsidRPr="008D3F20" w:rsidRDefault="008D3F20">
            <w:pPr>
              <w:pStyle w:val="Default"/>
              <w:rPr>
                <w:b/>
                <w:bCs/>
              </w:rPr>
            </w:pPr>
          </w:p>
          <w:p w:rsidR="008D3F20" w:rsidRPr="008D3F20" w:rsidRDefault="008D3F20">
            <w:pPr>
              <w:pStyle w:val="Default"/>
            </w:pPr>
            <w:r w:rsidRPr="008D3F20">
              <w:t xml:space="preserve">Формы получения образования </w:t>
            </w:r>
          </w:p>
        </w:tc>
        <w:tc>
          <w:tcPr>
            <w:tcW w:w="4781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Кол-во учащихся, получающих образование в данной форме </w:t>
            </w:r>
          </w:p>
        </w:tc>
      </w:tr>
      <w:tr w:rsidR="008D3F20" w:rsidRPr="008D3F20" w:rsidTr="008D3F20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4781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Очная </w:t>
            </w:r>
          </w:p>
        </w:tc>
        <w:tc>
          <w:tcPr>
            <w:tcW w:w="4781" w:type="dxa"/>
          </w:tcPr>
          <w:p w:rsidR="008D3F20" w:rsidRPr="008D3F20" w:rsidRDefault="008D3F20" w:rsidP="008D3F20">
            <w:pPr>
              <w:pStyle w:val="Default"/>
            </w:pPr>
            <w:r w:rsidRPr="008D3F20">
              <w:t>14</w:t>
            </w:r>
            <w:r>
              <w:t>5</w:t>
            </w:r>
          </w:p>
        </w:tc>
      </w:tr>
    </w:tbl>
    <w:p w:rsidR="008D3F20" w:rsidRPr="008D3F20" w:rsidRDefault="008D3F20" w:rsidP="008D3F20">
      <w:pPr>
        <w:pStyle w:val="Default"/>
      </w:pPr>
    </w:p>
    <w:p w:rsidR="008D3F20" w:rsidRPr="008D3F20" w:rsidRDefault="008D3F20" w:rsidP="008D3F20">
      <w:pPr>
        <w:pStyle w:val="Default"/>
      </w:pPr>
      <w:r w:rsidRPr="008D3F20">
        <w:t xml:space="preserve"> </w:t>
      </w:r>
      <w:r w:rsidRPr="008D3F20">
        <w:rPr>
          <w:b/>
          <w:bCs/>
        </w:rPr>
        <w:t xml:space="preserve">4. Режим работы ЦВР </w:t>
      </w:r>
      <w:r w:rsidRPr="008D3F20">
        <w:rPr>
          <w:b/>
          <w:bCs/>
          <w:lang w:val="en-US"/>
        </w:rPr>
        <w:t>Polyglot</w:t>
      </w:r>
      <w:r w:rsidRPr="008D3F20">
        <w:rPr>
          <w:b/>
          <w:bCs/>
        </w:rPr>
        <w:t xml:space="preserve">: </w:t>
      </w:r>
    </w:p>
    <w:p w:rsidR="008D3F20" w:rsidRDefault="008D3F20" w:rsidP="008D3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F20">
        <w:rPr>
          <w:rFonts w:ascii="Times New Roman" w:hAnsi="Times New Roman" w:cs="Times New Roman"/>
          <w:b/>
          <w:bCs/>
          <w:sz w:val="24"/>
          <w:szCs w:val="24"/>
        </w:rPr>
        <w:t xml:space="preserve">ЦВР </w:t>
      </w:r>
      <w:r w:rsidRPr="008D3F20">
        <w:rPr>
          <w:rFonts w:ascii="Times New Roman" w:hAnsi="Times New Roman" w:cs="Times New Roman"/>
          <w:b/>
          <w:bCs/>
          <w:sz w:val="24"/>
          <w:szCs w:val="24"/>
          <w:lang w:val="en-US"/>
        </w:rPr>
        <w:t>Polyglot</w:t>
      </w:r>
      <w:r w:rsidRPr="008D3F20">
        <w:rPr>
          <w:rFonts w:ascii="Times New Roman" w:hAnsi="Times New Roman" w:cs="Times New Roman"/>
          <w:sz w:val="24"/>
          <w:szCs w:val="24"/>
        </w:rPr>
        <w:t xml:space="preserve"> работает с 15.00 до 20.00 с понедельника по пятницу, с 11.00 до 17.00 в субботу, выходной – воскресенье.</w:t>
      </w:r>
    </w:p>
    <w:p w:rsidR="008D3F20" w:rsidRPr="008D3F20" w:rsidRDefault="008D3F20" w:rsidP="008D3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3F20" w:rsidRPr="008D3F20" w:rsidRDefault="008D3F20" w:rsidP="008D3F20">
      <w:pPr>
        <w:pStyle w:val="Default"/>
      </w:pPr>
      <w:r w:rsidRPr="008D3F20">
        <w:t xml:space="preserve"> </w:t>
      </w:r>
      <w:r w:rsidRPr="008D3F20">
        <w:rPr>
          <w:b/>
          <w:bCs/>
        </w:rPr>
        <w:t xml:space="preserve">5. Структура управления </w:t>
      </w:r>
    </w:p>
    <w:p w:rsidR="008D3F20" w:rsidRPr="008D3F20" w:rsidRDefault="008D3F20" w:rsidP="008D3F20">
      <w:pPr>
        <w:pStyle w:val="Default"/>
      </w:pPr>
      <w:r w:rsidRPr="008D3F20">
        <w:t xml:space="preserve">Текущее руководство деятельностью Учреждения осуществляет руководитель (Директор). По вопросам, относящимся к его компетенции, Директор действует на принципах единоначалия. </w:t>
      </w:r>
    </w:p>
    <w:p w:rsidR="008D3F20" w:rsidRPr="008D3F20" w:rsidRDefault="008D3F20" w:rsidP="008D3F20">
      <w:pPr>
        <w:pStyle w:val="Default"/>
      </w:pPr>
      <w:r w:rsidRPr="008D3F20">
        <w:t>В целях развития и совершенствования учебно-воспитательного процесса, повышения профессионального мастерства и творческого роста преподавателей в Учреждении</w:t>
      </w:r>
    </w:p>
    <w:p w:rsidR="008D3F20" w:rsidRPr="008D3F20" w:rsidRDefault="008D3F20" w:rsidP="008D3F20">
      <w:pPr>
        <w:jc w:val="both"/>
        <w:rPr>
          <w:rFonts w:ascii="Times New Roman" w:hAnsi="Times New Roman" w:cs="Times New Roman"/>
          <w:sz w:val="24"/>
          <w:szCs w:val="24"/>
        </w:rPr>
      </w:pPr>
      <w:r w:rsidRPr="008D3F20">
        <w:rPr>
          <w:rFonts w:ascii="Times New Roman" w:hAnsi="Times New Roman" w:cs="Times New Roman"/>
          <w:sz w:val="24"/>
          <w:szCs w:val="24"/>
        </w:rPr>
        <w:t>действует коллегиальный орган, объединяющий педагогических работников – педагогический совет.</w:t>
      </w:r>
    </w:p>
    <w:p w:rsidR="008D3F20" w:rsidRPr="008D3F20" w:rsidRDefault="008D3F20" w:rsidP="008D3F20">
      <w:pPr>
        <w:pStyle w:val="Default"/>
        <w:jc w:val="both"/>
      </w:pPr>
      <w:r w:rsidRPr="008D3F20">
        <w:rPr>
          <w:b/>
          <w:bCs/>
        </w:rPr>
        <w:t xml:space="preserve">6. Цели и задачи образовательной деятельности </w:t>
      </w:r>
    </w:p>
    <w:p w:rsidR="008D3F20" w:rsidRPr="008D3F20" w:rsidRDefault="008D3F20" w:rsidP="008D3F20">
      <w:pPr>
        <w:pStyle w:val="Default"/>
        <w:jc w:val="both"/>
      </w:pPr>
      <w:r w:rsidRPr="008D3F20">
        <w:t xml:space="preserve">Основными задачами деятельности Учреждения являются: </w:t>
      </w:r>
    </w:p>
    <w:p w:rsidR="008D3F20" w:rsidRPr="008D3F20" w:rsidRDefault="008D3F20" w:rsidP="008D3F20">
      <w:pPr>
        <w:pStyle w:val="Default"/>
        <w:jc w:val="both"/>
      </w:pPr>
      <w:r w:rsidRPr="008D3F20">
        <w:t xml:space="preserve">- формирование и развитие языковой, речевой и </w:t>
      </w:r>
      <w:proofErr w:type="spellStart"/>
      <w:r w:rsidRPr="008D3F20">
        <w:t>социокультурной</w:t>
      </w:r>
      <w:proofErr w:type="spellEnd"/>
      <w:r w:rsidRPr="008D3F20">
        <w:t xml:space="preserve"> компетенции, необходимой и достаточной для общения с носителями языка; обучение нормам </w:t>
      </w:r>
      <w:r w:rsidRPr="008D3F20">
        <w:lastRenderedPageBreak/>
        <w:t xml:space="preserve">межкультурного общения на иностранном языке; развитие культуры устной и письменной речи на иностранном языке в условиях официального и неофициального общения; </w:t>
      </w:r>
    </w:p>
    <w:p w:rsidR="008D3F20" w:rsidRPr="008D3F20" w:rsidRDefault="008D3F20" w:rsidP="008D3F20">
      <w:pPr>
        <w:pStyle w:val="Default"/>
        <w:jc w:val="both"/>
      </w:pPr>
      <w:r w:rsidRPr="008D3F20">
        <w:t xml:space="preserve">- формирование у обучающихся уважения к другим культурам и народам, готовности к деловому сотрудничеству и взаимодействию, совместному решению общечеловеческих проблем; </w:t>
      </w:r>
    </w:p>
    <w:p w:rsidR="008D3F20" w:rsidRPr="008D3F20" w:rsidRDefault="008D3F20" w:rsidP="008D3F20">
      <w:pPr>
        <w:pStyle w:val="Default"/>
        <w:jc w:val="both"/>
      </w:pPr>
      <w:r w:rsidRPr="008D3F20">
        <w:t xml:space="preserve">- развитие интеллектуальных и творческих способностей обучающихся в процессе изучения языков и культур; </w:t>
      </w:r>
    </w:p>
    <w:p w:rsidR="008D3F20" w:rsidRPr="008D3F20" w:rsidRDefault="008D3F20" w:rsidP="008D3F20">
      <w:pPr>
        <w:pStyle w:val="Default"/>
        <w:jc w:val="both"/>
      </w:pPr>
      <w:r w:rsidRPr="008D3F20">
        <w:t xml:space="preserve">- развитие самообразовательного потенциала обучающихся в изучении иностранных языков и многообразия современного многоязычного и поликультурного мира. </w:t>
      </w:r>
    </w:p>
    <w:p w:rsidR="008D3F20" w:rsidRPr="008D3F20" w:rsidRDefault="008D3F20" w:rsidP="008D3F20">
      <w:pPr>
        <w:pStyle w:val="Default"/>
        <w:jc w:val="both"/>
        <w:rPr>
          <w:b/>
          <w:bCs/>
        </w:rPr>
      </w:pPr>
    </w:p>
    <w:p w:rsidR="008D3F20" w:rsidRPr="008D3F20" w:rsidRDefault="008D3F20" w:rsidP="008D3F20">
      <w:pPr>
        <w:pStyle w:val="Default"/>
        <w:jc w:val="both"/>
      </w:pPr>
      <w:r w:rsidRPr="008D3F20">
        <w:rPr>
          <w:b/>
          <w:bCs/>
        </w:rPr>
        <w:t xml:space="preserve">7. Типы и виды образовательных программ </w:t>
      </w:r>
    </w:p>
    <w:p w:rsidR="008D3F20" w:rsidRPr="008D3F20" w:rsidRDefault="008D3F20" w:rsidP="008D3F20">
      <w:pPr>
        <w:pStyle w:val="Default"/>
        <w:jc w:val="both"/>
      </w:pPr>
      <w:r w:rsidRPr="008D3F20">
        <w:t xml:space="preserve">Программы, реализуемые Учреждением в области обучения детей и взрослых иностранным языкам, относятся к </w:t>
      </w:r>
      <w:r w:rsidRPr="008D3F20">
        <w:rPr>
          <w:i/>
          <w:iCs/>
        </w:rPr>
        <w:t xml:space="preserve">дополнительным </w:t>
      </w:r>
      <w:proofErr w:type="spellStart"/>
      <w:r w:rsidRPr="008D3F20">
        <w:rPr>
          <w:i/>
          <w:iCs/>
        </w:rPr>
        <w:t>общеразвивающим</w:t>
      </w:r>
      <w:proofErr w:type="spellEnd"/>
      <w:r w:rsidRPr="008D3F20">
        <w:rPr>
          <w:i/>
          <w:iCs/>
        </w:rPr>
        <w:t xml:space="preserve">. </w:t>
      </w:r>
    </w:p>
    <w:p w:rsidR="008D3F20" w:rsidRPr="008D3F20" w:rsidRDefault="008D3F20" w:rsidP="008D3F20">
      <w:pPr>
        <w:pStyle w:val="Default"/>
        <w:jc w:val="both"/>
      </w:pPr>
      <w:r w:rsidRPr="008D3F20">
        <w:rPr>
          <w:b/>
          <w:bCs/>
        </w:rPr>
        <w:t xml:space="preserve">Содержание </w:t>
      </w:r>
      <w:r w:rsidRPr="008D3F20">
        <w:t xml:space="preserve">программ направлено на развитие у обучающихся культуры общения в процессе формирования всех компонентов иноязычной коммуникативной компетенции, наличие которой учитывает потребности в использовании иностранного языка как средства общения, образования и самообразования, инструмента сотрудничества и взаимодействия в современном мире. </w:t>
      </w:r>
    </w:p>
    <w:p w:rsidR="008D3F20" w:rsidRPr="008D3F20" w:rsidRDefault="008D3F20" w:rsidP="008D3F20">
      <w:pPr>
        <w:pStyle w:val="Default"/>
        <w:jc w:val="both"/>
      </w:pPr>
      <w:r w:rsidRPr="008D3F20">
        <w:rPr>
          <w:b/>
          <w:bCs/>
        </w:rPr>
        <w:t xml:space="preserve">Структура и программы </w:t>
      </w:r>
      <w:r w:rsidRPr="008D3F20">
        <w:t xml:space="preserve">обучения иностранному языку определяются: </w:t>
      </w:r>
    </w:p>
    <w:p w:rsidR="008D3F20" w:rsidRPr="008D3F20" w:rsidRDefault="008D3F20" w:rsidP="008D3F20">
      <w:pPr>
        <w:pStyle w:val="Default"/>
        <w:jc w:val="both"/>
      </w:pPr>
      <w:r w:rsidRPr="008D3F20">
        <w:t xml:space="preserve">· коммуникативными целями и задачами обучающихся; </w:t>
      </w:r>
    </w:p>
    <w:p w:rsidR="008D3F20" w:rsidRPr="008D3F20" w:rsidRDefault="008D3F20" w:rsidP="008D3F20">
      <w:pPr>
        <w:pStyle w:val="Default"/>
        <w:jc w:val="both"/>
      </w:pPr>
      <w:r w:rsidRPr="008D3F20">
        <w:t xml:space="preserve">· возрастными особенностями обучающихся; </w:t>
      </w:r>
    </w:p>
    <w:p w:rsidR="008D3F20" w:rsidRPr="008D3F20" w:rsidRDefault="008D3F20" w:rsidP="008D3F20">
      <w:pPr>
        <w:pStyle w:val="Default"/>
        <w:jc w:val="both"/>
      </w:pPr>
      <w:r w:rsidRPr="008D3F20">
        <w:t xml:space="preserve">· преемственностью между этапами обучения. </w:t>
      </w:r>
    </w:p>
    <w:p w:rsidR="008D3F20" w:rsidRPr="008D3F20" w:rsidRDefault="008D3F20" w:rsidP="008D3F20">
      <w:pPr>
        <w:jc w:val="both"/>
        <w:rPr>
          <w:rFonts w:ascii="Times New Roman" w:hAnsi="Times New Roman" w:cs="Times New Roman"/>
          <w:sz w:val="24"/>
          <w:szCs w:val="24"/>
        </w:rPr>
      </w:pPr>
      <w:r w:rsidRPr="008D3F20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Pr="008D3F20">
        <w:rPr>
          <w:rFonts w:ascii="Times New Roman" w:hAnsi="Times New Roman" w:cs="Times New Roman"/>
          <w:b/>
          <w:bCs/>
          <w:sz w:val="24"/>
          <w:szCs w:val="24"/>
        </w:rPr>
        <w:t xml:space="preserve">основного технологического принципа </w:t>
      </w:r>
      <w:r w:rsidRPr="008D3F20">
        <w:rPr>
          <w:rFonts w:ascii="Times New Roman" w:hAnsi="Times New Roman" w:cs="Times New Roman"/>
          <w:sz w:val="24"/>
          <w:szCs w:val="24"/>
        </w:rPr>
        <w:t xml:space="preserve">обучения выступает «обучение в сотрудничестве». Большое значение придается </w:t>
      </w:r>
      <w:proofErr w:type="spellStart"/>
      <w:r w:rsidRPr="008D3F20">
        <w:rPr>
          <w:rFonts w:ascii="Times New Roman" w:hAnsi="Times New Roman" w:cs="Times New Roman"/>
          <w:sz w:val="24"/>
          <w:szCs w:val="24"/>
        </w:rPr>
        <w:t>здоровье-сберегающим</w:t>
      </w:r>
      <w:proofErr w:type="spellEnd"/>
      <w:r w:rsidRPr="008D3F20">
        <w:rPr>
          <w:rFonts w:ascii="Times New Roman" w:hAnsi="Times New Roman" w:cs="Times New Roman"/>
          <w:sz w:val="24"/>
          <w:szCs w:val="24"/>
        </w:rPr>
        <w:t xml:space="preserve"> технологиям, особенно на этапе бучения дошкольников и младших школьников, в частности, за счет смены видов активности: учебной речевой на учебно-игровую, интеллектуальной и двигательной, требующей физической активности, или смены видов учебной речевой деятельности с целью предотвращения усталости обучающихся (говорение сменяется чтением или письмом и наоборот).</w:t>
      </w:r>
    </w:p>
    <w:p w:rsidR="008D3F20" w:rsidRPr="008D3F20" w:rsidRDefault="008D3F20" w:rsidP="008D3F20">
      <w:pPr>
        <w:pStyle w:val="Default"/>
      </w:pPr>
      <w:r w:rsidRPr="008D3F20">
        <w:rPr>
          <w:b/>
          <w:bCs/>
        </w:rPr>
        <w:t xml:space="preserve">8. Материально-техническое обеспечение </w:t>
      </w:r>
    </w:p>
    <w:p w:rsidR="008D3F20" w:rsidRPr="008D3F20" w:rsidRDefault="008D3F20" w:rsidP="008D3F20">
      <w:pPr>
        <w:pStyle w:val="Default"/>
      </w:pPr>
      <w:r w:rsidRPr="008D3F20">
        <w:t xml:space="preserve">Учреждение на основе арендных отношений имеет в своем распоряжении 4 учебных кабинета и холл. </w:t>
      </w:r>
    </w:p>
    <w:p w:rsidR="008D3F20" w:rsidRPr="008D3F20" w:rsidRDefault="008D3F20" w:rsidP="008D3F20">
      <w:pPr>
        <w:pStyle w:val="Default"/>
      </w:pPr>
      <w:r w:rsidRPr="008D3F20">
        <w:t xml:space="preserve">Учебные кабинеты оборудованы необходимой для осуществления образовательной деятельности техникой: компьютерами, интерактивным оборудованием, </w:t>
      </w:r>
    </w:p>
    <w:p w:rsidR="008D3F20" w:rsidRPr="008D3F20" w:rsidRDefault="008D3F20" w:rsidP="008D3F20">
      <w:pPr>
        <w:pStyle w:val="Default"/>
      </w:pPr>
      <w:r w:rsidRPr="008D3F20">
        <w:t xml:space="preserve">проекторами, </w:t>
      </w:r>
      <w:proofErr w:type="spellStart"/>
      <w:r w:rsidRPr="008D3F20">
        <w:t>ксерокопировальной</w:t>
      </w:r>
      <w:proofErr w:type="spellEnd"/>
      <w:r w:rsidRPr="008D3F20">
        <w:t xml:space="preserve"> техникой. </w:t>
      </w:r>
    </w:p>
    <w:p w:rsidR="008D3F20" w:rsidRPr="008D3F20" w:rsidRDefault="008D3F20" w:rsidP="008D3F20">
      <w:pPr>
        <w:pStyle w:val="Default"/>
      </w:pPr>
      <w:r w:rsidRPr="008D3F20">
        <w:t>Имеется доступ к сети Интернет (</w:t>
      </w:r>
      <w:proofErr w:type="spellStart"/>
      <w:r w:rsidRPr="008D3F20">
        <w:t>Wi</w:t>
      </w:r>
      <w:proofErr w:type="spellEnd"/>
      <w:r w:rsidRPr="008D3F20">
        <w:t xml:space="preserve"> </w:t>
      </w:r>
      <w:proofErr w:type="spellStart"/>
      <w:r w:rsidRPr="008D3F20">
        <w:t>Fi</w:t>
      </w:r>
      <w:proofErr w:type="spellEnd"/>
      <w:r w:rsidRPr="008D3F20">
        <w:t xml:space="preserve">). </w:t>
      </w:r>
    </w:p>
    <w:p w:rsidR="008D3F20" w:rsidRPr="008D3F20" w:rsidRDefault="008D3F20" w:rsidP="008D3F20">
      <w:pPr>
        <w:pStyle w:val="Default"/>
      </w:pPr>
      <w:r w:rsidRPr="008D3F20">
        <w:t xml:space="preserve">Материально - техническое оснащение образовательного процесса позволяет обеспечить реализацию заявленных программ в полном объеме. </w:t>
      </w:r>
    </w:p>
    <w:p w:rsidR="008D3F20" w:rsidRPr="008D3F20" w:rsidRDefault="008D3F20" w:rsidP="008D3F20">
      <w:pPr>
        <w:pStyle w:val="Default"/>
      </w:pPr>
      <w:r w:rsidRPr="008D3F20">
        <w:t xml:space="preserve">Необходимый объем санитарно-гигиенических условий соблюдается. </w:t>
      </w:r>
    </w:p>
    <w:p w:rsidR="008D3F20" w:rsidRPr="008D3F20" w:rsidRDefault="008D3F20" w:rsidP="008D3F20">
      <w:pPr>
        <w:pStyle w:val="Default"/>
      </w:pPr>
      <w:r w:rsidRPr="008D3F20">
        <w:t xml:space="preserve">Функционируют системы </w:t>
      </w:r>
      <w:proofErr w:type="spellStart"/>
      <w:r w:rsidRPr="008D3F20">
        <w:t>пожарооповещения</w:t>
      </w:r>
      <w:proofErr w:type="spellEnd"/>
      <w:r w:rsidRPr="008D3F20">
        <w:t xml:space="preserve"> и охраны помещений. </w:t>
      </w:r>
    </w:p>
    <w:p w:rsidR="008D3F20" w:rsidRPr="008D3F20" w:rsidRDefault="008D3F20" w:rsidP="008D3F20">
      <w:pPr>
        <w:pStyle w:val="Default"/>
      </w:pPr>
      <w:r w:rsidRPr="008D3F20">
        <w:t xml:space="preserve">В школе имеется в достаточном количестве необходимая учебная и методическая литература. Учебно-методические комплексы подобраны с учетом возрастных особенностей учащихся, программ дополнительного образования, уровнем обучения, позволяющие эффективно осваивать учебные программы. Ежегодно библиотека пополняется новыми учебно-методическими пособиями. </w:t>
      </w:r>
    </w:p>
    <w:p w:rsidR="008D3F20" w:rsidRPr="008D3F20" w:rsidRDefault="008D3F20" w:rsidP="008D3F20">
      <w:pPr>
        <w:pStyle w:val="Default"/>
        <w:rPr>
          <w:b/>
          <w:bCs/>
        </w:rPr>
      </w:pPr>
    </w:p>
    <w:p w:rsidR="008D3F20" w:rsidRPr="008D3F20" w:rsidRDefault="008D3F20" w:rsidP="008D3F20">
      <w:pPr>
        <w:pStyle w:val="Default"/>
      </w:pPr>
      <w:r w:rsidRPr="008D3F20">
        <w:rPr>
          <w:b/>
          <w:bCs/>
        </w:rPr>
        <w:t xml:space="preserve">9. Оценка состояния образовательного процесса </w:t>
      </w:r>
    </w:p>
    <w:p w:rsidR="008D3F20" w:rsidRPr="008D3F20" w:rsidRDefault="008D3F20" w:rsidP="008D3F20">
      <w:pPr>
        <w:pStyle w:val="Default"/>
      </w:pPr>
      <w:r w:rsidRPr="008D3F20">
        <w:t xml:space="preserve">Удовлетворенность состоянием образовательного процесса является одним из показателей, характеризующих конечные результаты деятельности Учреждения. Ежегодно проводится анкетирование участников образовательной деятельности на </w:t>
      </w:r>
      <w:r w:rsidRPr="008D3F20">
        <w:lastRenderedPageBreak/>
        <w:t>выявление недостатков в организации процесса обучения. По результатам предыдущих лет негативных отзывов не имеется.</w:t>
      </w:r>
    </w:p>
    <w:p w:rsidR="008D3F20" w:rsidRPr="008D3F20" w:rsidRDefault="008D3F20" w:rsidP="008D3F20">
      <w:pPr>
        <w:pStyle w:val="Default"/>
        <w:rPr>
          <w:b/>
          <w:bCs/>
        </w:rPr>
      </w:pPr>
    </w:p>
    <w:p w:rsidR="008D3F20" w:rsidRPr="008D3F20" w:rsidRDefault="008D3F20" w:rsidP="008D3F20">
      <w:pPr>
        <w:pStyle w:val="Default"/>
        <w:rPr>
          <w:b/>
          <w:bCs/>
        </w:rPr>
      </w:pPr>
      <w:r w:rsidRPr="008D3F20">
        <w:rPr>
          <w:b/>
          <w:bCs/>
        </w:rPr>
        <w:t xml:space="preserve">II. Некоторые количественные показатели </w:t>
      </w:r>
    </w:p>
    <w:p w:rsidR="008D3F20" w:rsidRPr="008D3F20" w:rsidRDefault="008D3F20" w:rsidP="008D3F20">
      <w:pPr>
        <w:pStyle w:val="Default"/>
        <w:rPr>
          <w:b/>
          <w:bCs/>
        </w:rPr>
      </w:pPr>
      <w:r w:rsidRPr="008D3F20">
        <w:rPr>
          <w:b/>
          <w:bCs/>
        </w:rPr>
        <w:t xml:space="preserve">1. Контингент учащихся в 2018-2019 учебном году: </w:t>
      </w:r>
    </w:p>
    <w:p w:rsidR="008D3F20" w:rsidRPr="008D3F20" w:rsidRDefault="008D3F20" w:rsidP="008D3F20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0"/>
        <w:gridCol w:w="3595"/>
      </w:tblGrid>
      <w:tr w:rsidR="008D3F20" w:rsidRPr="008D3F20" w:rsidTr="008D3F20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5070" w:type="dxa"/>
          </w:tcPr>
          <w:p w:rsidR="008D3F20" w:rsidRPr="008D3F20" w:rsidRDefault="008D3F20" w:rsidP="008D3F20">
            <w:pPr>
              <w:pStyle w:val="Default"/>
              <w:jc w:val="center"/>
            </w:pPr>
            <w:r w:rsidRPr="008D3F20">
              <w:t>Возрастные группы учащихся</w:t>
            </w:r>
          </w:p>
        </w:tc>
        <w:tc>
          <w:tcPr>
            <w:tcW w:w="3595" w:type="dxa"/>
          </w:tcPr>
          <w:p w:rsidR="008D3F20" w:rsidRPr="008D3F20" w:rsidRDefault="008D3F20" w:rsidP="008D3F20">
            <w:pPr>
              <w:pStyle w:val="Default"/>
              <w:jc w:val="center"/>
            </w:pPr>
            <w:r w:rsidRPr="008D3F20">
              <w:t>Количество</w:t>
            </w:r>
          </w:p>
        </w:tc>
      </w:tr>
      <w:tr w:rsidR="008D3F20" w:rsidRPr="008D3F20" w:rsidTr="008D3F20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5070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Дети дошкольного возраста (4 – 7 лет) </w:t>
            </w:r>
          </w:p>
        </w:tc>
        <w:tc>
          <w:tcPr>
            <w:tcW w:w="3595" w:type="dxa"/>
          </w:tcPr>
          <w:p w:rsidR="008D3F20" w:rsidRPr="008D3F20" w:rsidRDefault="008D3F20" w:rsidP="008D3F20">
            <w:pPr>
              <w:pStyle w:val="Default"/>
              <w:jc w:val="center"/>
            </w:pPr>
            <w:r w:rsidRPr="008D3F20">
              <w:t>42</w:t>
            </w:r>
          </w:p>
        </w:tc>
      </w:tr>
      <w:tr w:rsidR="008D3F20" w:rsidRPr="008D3F20" w:rsidTr="008D3F20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5070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Дети младшего школьного возраста (7- 10 лет) </w:t>
            </w:r>
          </w:p>
        </w:tc>
        <w:tc>
          <w:tcPr>
            <w:tcW w:w="3595" w:type="dxa"/>
          </w:tcPr>
          <w:p w:rsidR="008D3F20" w:rsidRPr="008D3F20" w:rsidRDefault="008D3F20" w:rsidP="008D3F20">
            <w:pPr>
              <w:pStyle w:val="Default"/>
              <w:jc w:val="center"/>
            </w:pPr>
            <w:r w:rsidRPr="008D3F20">
              <w:t>61</w:t>
            </w:r>
          </w:p>
        </w:tc>
      </w:tr>
      <w:tr w:rsidR="008D3F20" w:rsidRPr="008D3F20" w:rsidTr="008D3F20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5070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Дети среднего школьного возраста (11 – 14 лет) </w:t>
            </w:r>
          </w:p>
        </w:tc>
        <w:tc>
          <w:tcPr>
            <w:tcW w:w="3595" w:type="dxa"/>
          </w:tcPr>
          <w:p w:rsidR="008D3F20" w:rsidRPr="008D3F20" w:rsidRDefault="008D3F20" w:rsidP="008D3F20">
            <w:pPr>
              <w:pStyle w:val="Default"/>
              <w:jc w:val="center"/>
            </w:pPr>
            <w:r w:rsidRPr="008D3F20">
              <w:t>15</w:t>
            </w:r>
          </w:p>
        </w:tc>
      </w:tr>
      <w:tr w:rsidR="008D3F20" w:rsidRPr="008D3F20" w:rsidTr="008D3F20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5070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Дети старшего школьного возраста (15 – 17 лет) </w:t>
            </w:r>
          </w:p>
        </w:tc>
        <w:tc>
          <w:tcPr>
            <w:tcW w:w="3595" w:type="dxa"/>
          </w:tcPr>
          <w:p w:rsidR="008D3F20" w:rsidRPr="008D3F20" w:rsidRDefault="008D3F20" w:rsidP="008D3F20">
            <w:pPr>
              <w:pStyle w:val="Default"/>
              <w:jc w:val="center"/>
            </w:pPr>
            <w:r w:rsidRPr="008D3F20">
              <w:t>16</w:t>
            </w:r>
          </w:p>
        </w:tc>
      </w:tr>
      <w:tr w:rsidR="008D3F20" w:rsidRPr="008D3F20" w:rsidTr="008D3F20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5070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Взрослые </w:t>
            </w:r>
          </w:p>
        </w:tc>
        <w:tc>
          <w:tcPr>
            <w:tcW w:w="3595" w:type="dxa"/>
          </w:tcPr>
          <w:p w:rsidR="008D3F20" w:rsidRPr="008D3F20" w:rsidRDefault="008D3F20" w:rsidP="008D3F20">
            <w:pPr>
              <w:pStyle w:val="Default"/>
              <w:jc w:val="center"/>
            </w:pPr>
            <w:r w:rsidRPr="008D3F20">
              <w:t>9</w:t>
            </w:r>
          </w:p>
        </w:tc>
      </w:tr>
      <w:tr w:rsidR="008D3F20" w:rsidRPr="008D3F20" w:rsidTr="008D3F20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5070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ИТОГО </w:t>
            </w:r>
          </w:p>
        </w:tc>
        <w:tc>
          <w:tcPr>
            <w:tcW w:w="3595" w:type="dxa"/>
          </w:tcPr>
          <w:p w:rsidR="008D3F20" w:rsidRPr="008D3F20" w:rsidRDefault="008D3F20" w:rsidP="008D3F20">
            <w:pPr>
              <w:pStyle w:val="Default"/>
              <w:jc w:val="center"/>
            </w:pPr>
            <w:r w:rsidRPr="008D3F20">
              <w:t>145</w:t>
            </w:r>
          </w:p>
        </w:tc>
      </w:tr>
    </w:tbl>
    <w:p w:rsidR="008D3F20" w:rsidRPr="008D3F20" w:rsidRDefault="008D3F20" w:rsidP="008D3F20">
      <w:pPr>
        <w:pStyle w:val="Default"/>
      </w:pPr>
    </w:p>
    <w:p w:rsidR="008D3F20" w:rsidRPr="008D3F20" w:rsidRDefault="008D3F20" w:rsidP="008D3F20">
      <w:pPr>
        <w:pStyle w:val="Default"/>
      </w:pPr>
      <w:r w:rsidRPr="008D3F20">
        <w:rPr>
          <w:b/>
          <w:bCs/>
        </w:rPr>
        <w:t>2. Рейтинг выбранных обучающимися программ (в зависимости от языка)</w:t>
      </w:r>
      <w:r w:rsidRPr="008D3F20"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0"/>
        <w:gridCol w:w="3650"/>
      </w:tblGrid>
      <w:tr w:rsidR="008D3F20" w:rsidRPr="008D3F20" w:rsidTr="008D3F20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3650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Программа </w:t>
            </w:r>
          </w:p>
        </w:tc>
        <w:tc>
          <w:tcPr>
            <w:tcW w:w="3650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Количество </w:t>
            </w:r>
          </w:p>
          <w:p w:rsidR="008D3F20" w:rsidRPr="008D3F20" w:rsidRDefault="008D3F20">
            <w:pPr>
              <w:pStyle w:val="Default"/>
            </w:pPr>
            <w:r w:rsidRPr="008D3F20">
              <w:t xml:space="preserve">обучающихся </w:t>
            </w:r>
          </w:p>
        </w:tc>
      </w:tr>
      <w:tr w:rsidR="008D3F20" w:rsidRPr="008D3F20" w:rsidTr="008D3F20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650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Английский язык. Общее владение </w:t>
            </w:r>
          </w:p>
        </w:tc>
        <w:tc>
          <w:tcPr>
            <w:tcW w:w="3650" w:type="dxa"/>
          </w:tcPr>
          <w:p w:rsidR="008D3F20" w:rsidRPr="008D3F20" w:rsidRDefault="008D3F20" w:rsidP="008D3F20">
            <w:pPr>
              <w:pStyle w:val="Default"/>
            </w:pPr>
            <w:r w:rsidRPr="008D3F20">
              <w:t>13</w:t>
            </w:r>
            <w:r>
              <w:t>8</w:t>
            </w:r>
          </w:p>
        </w:tc>
      </w:tr>
      <w:tr w:rsidR="008D3F20" w:rsidRPr="008D3F20" w:rsidTr="008D3F20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650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Китайский язык. Общее владение </w:t>
            </w:r>
          </w:p>
        </w:tc>
        <w:tc>
          <w:tcPr>
            <w:tcW w:w="3650" w:type="dxa"/>
          </w:tcPr>
          <w:p w:rsidR="008D3F20" w:rsidRPr="008D3F20" w:rsidRDefault="008D3F20">
            <w:pPr>
              <w:pStyle w:val="Default"/>
            </w:pPr>
            <w:r w:rsidRPr="008D3F20">
              <w:t>6</w:t>
            </w:r>
          </w:p>
        </w:tc>
      </w:tr>
      <w:tr w:rsidR="008D3F20" w:rsidRPr="008D3F20" w:rsidTr="008D3F20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650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Немецкий язык. Общее владение </w:t>
            </w:r>
          </w:p>
        </w:tc>
        <w:tc>
          <w:tcPr>
            <w:tcW w:w="3650" w:type="dxa"/>
          </w:tcPr>
          <w:p w:rsidR="008D3F20" w:rsidRPr="008D3F20" w:rsidRDefault="008D3F20">
            <w:pPr>
              <w:pStyle w:val="Default"/>
            </w:pPr>
            <w:r w:rsidRPr="008D3F20">
              <w:t>3</w:t>
            </w:r>
          </w:p>
        </w:tc>
      </w:tr>
    </w:tbl>
    <w:p w:rsidR="008D3F20" w:rsidRPr="008D3F20" w:rsidRDefault="008D3F20" w:rsidP="008D3F20">
      <w:pPr>
        <w:pStyle w:val="Default"/>
        <w:rPr>
          <w:b/>
          <w:bCs/>
        </w:rPr>
      </w:pPr>
      <w:r w:rsidRPr="008D3F20">
        <w:t>* Некоторые обучаются по двум программам.</w:t>
      </w:r>
      <w:r w:rsidRPr="008D3F20">
        <w:rPr>
          <w:b/>
          <w:bCs/>
        </w:rPr>
        <w:t xml:space="preserve"> </w:t>
      </w:r>
    </w:p>
    <w:p w:rsidR="008D3F20" w:rsidRPr="008D3F20" w:rsidRDefault="008D3F20" w:rsidP="008D3F20">
      <w:pPr>
        <w:pStyle w:val="Default"/>
        <w:rPr>
          <w:b/>
          <w:bCs/>
        </w:rPr>
      </w:pPr>
    </w:p>
    <w:p w:rsidR="008D3F20" w:rsidRPr="008D3F20" w:rsidRDefault="008D3F20" w:rsidP="008D3F20">
      <w:pPr>
        <w:pStyle w:val="Default"/>
        <w:rPr>
          <w:b/>
          <w:bCs/>
        </w:rPr>
      </w:pPr>
      <w:r w:rsidRPr="008D3F20">
        <w:rPr>
          <w:b/>
          <w:bCs/>
        </w:rPr>
        <w:t>3. Кадровое обеспечение реализуемых образовательных программ</w:t>
      </w:r>
    </w:p>
    <w:p w:rsidR="008D3F20" w:rsidRPr="008D3F20" w:rsidRDefault="008D3F20" w:rsidP="008D3F20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55"/>
        <w:gridCol w:w="2655"/>
      </w:tblGrid>
      <w:tr w:rsidR="008D3F20" w:rsidRPr="008D3F20" w:rsidTr="008D3F20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655" w:type="dxa"/>
          </w:tcPr>
          <w:p w:rsidR="008D3F20" w:rsidRPr="008D3F20" w:rsidRDefault="008D3F20">
            <w:pPr>
              <w:pStyle w:val="Default"/>
            </w:pPr>
            <w:r w:rsidRPr="008D3F20">
              <w:rPr>
                <w:b/>
                <w:bCs/>
              </w:rPr>
              <w:t xml:space="preserve">Численность </w:t>
            </w:r>
          </w:p>
          <w:p w:rsidR="008D3F20" w:rsidRPr="008D3F20" w:rsidRDefault="008D3F20">
            <w:pPr>
              <w:pStyle w:val="Default"/>
            </w:pPr>
            <w:r w:rsidRPr="008D3F20">
              <w:rPr>
                <w:b/>
                <w:bCs/>
              </w:rPr>
              <w:t xml:space="preserve">педагогических работников </w:t>
            </w:r>
          </w:p>
        </w:tc>
        <w:tc>
          <w:tcPr>
            <w:tcW w:w="2655" w:type="dxa"/>
          </w:tcPr>
          <w:p w:rsidR="008D3F20" w:rsidRPr="008D3F20" w:rsidRDefault="008D3F20">
            <w:pPr>
              <w:pStyle w:val="Default"/>
            </w:pPr>
            <w:r w:rsidRPr="008D3F20">
              <w:rPr>
                <w:b/>
                <w:bCs/>
              </w:rPr>
              <w:t xml:space="preserve">Численность </w:t>
            </w:r>
          </w:p>
          <w:p w:rsidR="008D3F20" w:rsidRPr="008D3F20" w:rsidRDefault="008D3F20">
            <w:pPr>
              <w:pStyle w:val="Default"/>
            </w:pPr>
            <w:r w:rsidRPr="008D3F20">
              <w:rPr>
                <w:b/>
                <w:bCs/>
              </w:rPr>
              <w:t xml:space="preserve">педагогических работников </w:t>
            </w:r>
          </w:p>
          <w:p w:rsidR="008D3F20" w:rsidRPr="008D3F20" w:rsidRDefault="008D3F20">
            <w:pPr>
              <w:pStyle w:val="Default"/>
            </w:pPr>
            <w:r w:rsidRPr="008D3F20">
              <w:rPr>
                <w:b/>
                <w:bCs/>
              </w:rPr>
              <w:t xml:space="preserve">с высшим образованием </w:t>
            </w:r>
          </w:p>
        </w:tc>
      </w:tr>
      <w:tr w:rsidR="008D3F20" w:rsidRPr="008D3F20" w:rsidTr="008D3F20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655" w:type="dxa"/>
          </w:tcPr>
          <w:p w:rsidR="008D3F20" w:rsidRPr="008D3F20" w:rsidRDefault="008D3F20">
            <w:pPr>
              <w:pStyle w:val="Default"/>
            </w:pPr>
            <w:r w:rsidRPr="008D3F20">
              <w:t>5</w:t>
            </w:r>
          </w:p>
        </w:tc>
        <w:tc>
          <w:tcPr>
            <w:tcW w:w="2655" w:type="dxa"/>
          </w:tcPr>
          <w:p w:rsidR="008D3F20" w:rsidRPr="008D3F20" w:rsidRDefault="008D3F20">
            <w:pPr>
              <w:pStyle w:val="Default"/>
            </w:pPr>
            <w:r w:rsidRPr="008D3F20">
              <w:t>5</w:t>
            </w:r>
          </w:p>
        </w:tc>
      </w:tr>
    </w:tbl>
    <w:p w:rsidR="008D3F20" w:rsidRPr="008D3F20" w:rsidRDefault="008D3F20" w:rsidP="008D3F20">
      <w:pPr>
        <w:pStyle w:val="Default"/>
      </w:pPr>
    </w:p>
    <w:p w:rsidR="008D3F20" w:rsidRPr="008D3F20" w:rsidRDefault="008D3F20" w:rsidP="008D3F20">
      <w:pPr>
        <w:pStyle w:val="Default"/>
      </w:pPr>
      <w:r w:rsidRPr="008D3F20">
        <w:rPr>
          <w:b/>
          <w:bCs/>
        </w:rPr>
        <w:t xml:space="preserve">4. Оценка содержания обучения в ЦВР </w:t>
      </w:r>
      <w:r w:rsidRPr="008D3F20">
        <w:rPr>
          <w:b/>
          <w:bCs/>
          <w:lang w:val="en-US"/>
        </w:rPr>
        <w:t>Polyglot</w:t>
      </w:r>
      <w:r w:rsidRPr="008D3F20">
        <w:rPr>
          <w:b/>
          <w:bCs/>
        </w:rPr>
        <w:t xml:space="preserve"> </w:t>
      </w:r>
    </w:p>
    <w:p w:rsidR="008D3F20" w:rsidRPr="008D3F20" w:rsidRDefault="008D3F20" w:rsidP="008D3F20">
      <w:pPr>
        <w:pStyle w:val="Default"/>
      </w:pPr>
      <w:r w:rsidRPr="008D3F20">
        <w:rPr>
          <w:b/>
          <w:bCs/>
        </w:rPr>
        <w:t xml:space="preserve">Результаты анкетирования 2018-2019 учебного года: </w:t>
      </w:r>
      <w:r w:rsidRPr="008D3F20">
        <w:t>Всего приняло участие в анкетировании – 87 человек.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7"/>
        <w:gridCol w:w="1468"/>
        <w:gridCol w:w="1467"/>
        <w:gridCol w:w="1468"/>
        <w:gridCol w:w="1467"/>
        <w:gridCol w:w="1468"/>
      </w:tblGrid>
      <w:tr w:rsidR="008D3F20" w:rsidRPr="008D3F20" w:rsidTr="008D3F2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1467" w:type="dxa"/>
          </w:tcPr>
          <w:p w:rsidR="008D3F20" w:rsidRPr="008D3F20" w:rsidRDefault="008D3F20">
            <w:pPr>
              <w:pStyle w:val="Default"/>
            </w:pPr>
            <w:r w:rsidRPr="008D3F20">
              <w:rPr>
                <w:b/>
                <w:bCs/>
              </w:rPr>
              <w:t xml:space="preserve">Оценка </w:t>
            </w:r>
          </w:p>
        </w:tc>
        <w:tc>
          <w:tcPr>
            <w:tcW w:w="1468" w:type="dxa"/>
          </w:tcPr>
          <w:p w:rsidR="008D3F20" w:rsidRPr="008D3F20" w:rsidRDefault="008D3F20">
            <w:pPr>
              <w:pStyle w:val="Default"/>
            </w:pPr>
            <w:r w:rsidRPr="008D3F20">
              <w:rPr>
                <w:b/>
                <w:bCs/>
              </w:rPr>
              <w:t xml:space="preserve">1 </w:t>
            </w:r>
          </w:p>
        </w:tc>
        <w:tc>
          <w:tcPr>
            <w:tcW w:w="1467" w:type="dxa"/>
          </w:tcPr>
          <w:p w:rsidR="008D3F20" w:rsidRPr="008D3F20" w:rsidRDefault="008D3F20">
            <w:pPr>
              <w:pStyle w:val="Default"/>
            </w:pPr>
            <w:r w:rsidRPr="008D3F20">
              <w:rPr>
                <w:b/>
                <w:bCs/>
              </w:rPr>
              <w:t xml:space="preserve">2 </w:t>
            </w:r>
          </w:p>
        </w:tc>
        <w:tc>
          <w:tcPr>
            <w:tcW w:w="1468" w:type="dxa"/>
          </w:tcPr>
          <w:p w:rsidR="008D3F20" w:rsidRPr="008D3F20" w:rsidRDefault="008D3F20">
            <w:pPr>
              <w:pStyle w:val="Default"/>
            </w:pPr>
            <w:r w:rsidRPr="008D3F20">
              <w:rPr>
                <w:b/>
                <w:bCs/>
              </w:rPr>
              <w:t xml:space="preserve">3 </w:t>
            </w:r>
          </w:p>
        </w:tc>
        <w:tc>
          <w:tcPr>
            <w:tcW w:w="1467" w:type="dxa"/>
          </w:tcPr>
          <w:p w:rsidR="008D3F20" w:rsidRPr="008D3F20" w:rsidRDefault="008D3F20">
            <w:pPr>
              <w:pStyle w:val="Default"/>
            </w:pPr>
            <w:r w:rsidRPr="008D3F20">
              <w:rPr>
                <w:b/>
                <w:bCs/>
              </w:rPr>
              <w:t xml:space="preserve">4 </w:t>
            </w:r>
          </w:p>
        </w:tc>
        <w:tc>
          <w:tcPr>
            <w:tcW w:w="1468" w:type="dxa"/>
          </w:tcPr>
          <w:p w:rsidR="008D3F20" w:rsidRPr="008D3F20" w:rsidRDefault="008D3F20">
            <w:pPr>
              <w:pStyle w:val="Default"/>
            </w:pPr>
            <w:r w:rsidRPr="008D3F20">
              <w:rPr>
                <w:b/>
                <w:bCs/>
              </w:rPr>
              <w:t xml:space="preserve">5 </w:t>
            </w:r>
          </w:p>
        </w:tc>
      </w:tr>
      <w:tr w:rsidR="008D3F20" w:rsidRPr="008D3F20" w:rsidTr="008D3F20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467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Эффективность занятий </w:t>
            </w:r>
          </w:p>
        </w:tc>
        <w:tc>
          <w:tcPr>
            <w:tcW w:w="1468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0 </w:t>
            </w:r>
          </w:p>
        </w:tc>
        <w:tc>
          <w:tcPr>
            <w:tcW w:w="1467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0 </w:t>
            </w:r>
          </w:p>
        </w:tc>
        <w:tc>
          <w:tcPr>
            <w:tcW w:w="1468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1 </w:t>
            </w:r>
          </w:p>
        </w:tc>
        <w:tc>
          <w:tcPr>
            <w:tcW w:w="1467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14 </w:t>
            </w:r>
          </w:p>
        </w:tc>
        <w:tc>
          <w:tcPr>
            <w:tcW w:w="1468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72 </w:t>
            </w:r>
          </w:p>
        </w:tc>
      </w:tr>
      <w:tr w:rsidR="008D3F20" w:rsidRPr="008D3F20" w:rsidTr="008D3F20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467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Информативность занятий </w:t>
            </w:r>
          </w:p>
        </w:tc>
        <w:tc>
          <w:tcPr>
            <w:tcW w:w="1468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0 </w:t>
            </w:r>
          </w:p>
        </w:tc>
        <w:tc>
          <w:tcPr>
            <w:tcW w:w="1467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0 </w:t>
            </w:r>
          </w:p>
        </w:tc>
        <w:tc>
          <w:tcPr>
            <w:tcW w:w="1468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1 </w:t>
            </w:r>
          </w:p>
        </w:tc>
        <w:tc>
          <w:tcPr>
            <w:tcW w:w="1467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22 </w:t>
            </w:r>
          </w:p>
        </w:tc>
        <w:tc>
          <w:tcPr>
            <w:tcW w:w="1468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64 </w:t>
            </w:r>
          </w:p>
        </w:tc>
      </w:tr>
      <w:tr w:rsidR="008D3F20" w:rsidRPr="008D3F20" w:rsidTr="008D3F20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467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Занимательность занятий </w:t>
            </w:r>
          </w:p>
        </w:tc>
        <w:tc>
          <w:tcPr>
            <w:tcW w:w="1468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0 </w:t>
            </w:r>
          </w:p>
        </w:tc>
        <w:tc>
          <w:tcPr>
            <w:tcW w:w="1467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0 </w:t>
            </w:r>
          </w:p>
        </w:tc>
        <w:tc>
          <w:tcPr>
            <w:tcW w:w="1468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1 </w:t>
            </w:r>
          </w:p>
        </w:tc>
        <w:tc>
          <w:tcPr>
            <w:tcW w:w="1467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18 </w:t>
            </w:r>
          </w:p>
        </w:tc>
        <w:tc>
          <w:tcPr>
            <w:tcW w:w="1468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68 </w:t>
            </w:r>
          </w:p>
        </w:tc>
      </w:tr>
      <w:tr w:rsidR="008D3F20" w:rsidRPr="008D3F20" w:rsidTr="008D3F20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467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Подача </w:t>
            </w:r>
            <w:proofErr w:type="spellStart"/>
            <w:r w:rsidRPr="008D3F20">
              <w:t>матер-ла</w:t>
            </w:r>
            <w:proofErr w:type="spellEnd"/>
            <w:r w:rsidRPr="008D3F20">
              <w:t xml:space="preserve"> преподават</w:t>
            </w:r>
            <w:r w:rsidRPr="008D3F20">
              <w:lastRenderedPageBreak/>
              <w:t xml:space="preserve">елем </w:t>
            </w:r>
          </w:p>
        </w:tc>
        <w:tc>
          <w:tcPr>
            <w:tcW w:w="1468" w:type="dxa"/>
          </w:tcPr>
          <w:p w:rsidR="008D3F20" w:rsidRPr="008D3F20" w:rsidRDefault="008D3F20">
            <w:pPr>
              <w:pStyle w:val="Default"/>
            </w:pPr>
            <w:r w:rsidRPr="008D3F20">
              <w:lastRenderedPageBreak/>
              <w:t xml:space="preserve">0 </w:t>
            </w:r>
          </w:p>
        </w:tc>
        <w:tc>
          <w:tcPr>
            <w:tcW w:w="1467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0 </w:t>
            </w:r>
          </w:p>
        </w:tc>
        <w:tc>
          <w:tcPr>
            <w:tcW w:w="1468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0 </w:t>
            </w:r>
          </w:p>
        </w:tc>
        <w:tc>
          <w:tcPr>
            <w:tcW w:w="1467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10 </w:t>
            </w:r>
          </w:p>
        </w:tc>
        <w:tc>
          <w:tcPr>
            <w:tcW w:w="1468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77 </w:t>
            </w:r>
          </w:p>
        </w:tc>
      </w:tr>
      <w:tr w:rsidR="008D3F20" w:rsidRPr="008D3F20" w:rsidTr="008D3F20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467" w:type="dxa"/>
          </w:tcPr>
          <w:p w:rsidR="008D3F20" w:rsidRPr="008D3F20" w:rsidRDefault="008D3F20">
            <w:pPr>
              <w:pStyle w:val="Default"/>
            </w:pPr>
            <w:r w:rsidRPr="008D3F20">
              <w:lastRenderedPageBreak/>
              <w:t xml:space="preserve">Заинтересованность ученика </w:t>
            </w:r>
          </w:p>
        </w:tc>
        <w:tc>
          <w:tcPr>
            <w:tcW w:w="1468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0 </w:t>
            </w:r>
          </w:p>
        </w:tc>
        <w:tc>
          <w:tcPr>
            <w:tcW w:w="1467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0 </w:t>
            </w:r>
          </w:p>
        </w:tc>
        <w:tc>
          <w:tcPr>
            <w:tcW w:w="1468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4 </w:t>
            </w:r>
          </w:p>
        </w:tc>
        <w:tc>
          <w:tcPr>
            <w:tcW w:w="1467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8 </w:t>
            </w:r>
          </w:p>
        </w:tc>
        <w:tc>
          <w:tcPr>
            <w:tcW w:w="1468" w:type="dxa"/>
          </w:tcPr>
          <w:p w:rsidR="008D3F20" w:rsidRPr="008D3F20" w:rsidRDefault="008D3F20">
            <w:pPr>
              <w:pStyle w:val="Default"/>
            </w:pPr>
            <w:r w:rsidRPr="008D3F20">
              <w:t xml:space="preserve">75 </w:t>
            </w:r>
          </w:p>
        </w:tc>
      </w:tr>
      <w:tr w:rsidR="008D3F20" w:rsidRPr="008D3F20" w:rsidTr="008D3F2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2935" w:type="dxa"/>
            <w:gridSpan w:val="2"/>
          </w:tcPr>
          <w:p w:rsidR="008D3F20" w:rsidRPr="008D3F20" w:rsidRDefault="008D3F20">
            <w:pPr>
              <w:pStyle w:val="Default"/>
            </w:pPr>
            <w:r w:rsidRPr="008D3F20">
              <w:rPr>
                <w:b/>
                <w:bCs/>
              </w:rPr>
              <w:t xml:space="preserve">Оценка </w:t>
            </w:r>
          </w:p>
        </w:tc>
        <w:tc>
          <w:tcPr>
            <w:tcW w:w="2935" w:type="dxa"/>
            <w:gridSpan w:val="2"/>
          </w:tcPr>
          <w:p w:rsidR="008D3F20" w:rsidRPr="008D3F20" w:rsidRDefault="008D3F20">
            <w:pPr>
              <w:pStyle w:val="Default"/>
            </w:pPr>
            <w:r w:rsidRPr="008D3F20">
              <w:rPr>
                <w:b/>
                <w:bCs/>
              </w:rPr>
              <w:t xml:space="preserve">Удовлетворительно </w:t>
            </w:r>
          </w:p>
        </w:tc>
        <w:tc>
          <w:tcPr>
            <w:tcW w:w="2935" w:type="dxa"/>
            <w:gridSpan w:val="2"/>
          </w:tcPr>
          <w:p w:rsidR="008D3F20" w:rsidRPr="008D3F20" w:rsidRDefault="008D3F20">
            <w:pPr>
              <w:pStyle w:val="Default"/>
            </w:pPr>
            <w:r w:rsidRPr="008D3F20">
              <w:rPr>
                <w:b/>
                <w:bCs/>
              </w:rPr>
              <w:t xml:space="preserve">Неудовлетворительно </w:t>
            </w:r>
          </w:p>
        </w:tc>
      </w:tr>
      <w:tr w:rsidR="008D3F20" w:rsidRPr="008D3F20" w:rsidTr="008D3F20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2935" w:type="dxa"/>
            <w:gridSpan w:val="2"/>
          </w:tcPr>
          <w:p w:rsidR="008D3F20" w:rsidRPr="008D3F20" w:rsidRDefault="008D3F20">
            <w:pPr>
              <w:pStyle w:val="Default"/>
            </w:pPr>
            <w:proofErr w:type="spellStart"/>
            <w:r w:rsidRPr="008D3F20">
              <w:t>Орг-я</w:t>
            </w:r>
            <w:proofErr w:type="spellEnd"/>
            <w:r w:rsidRPr="008D3F20">
              <w:t xml:space="preserve"> </w:t>
            </w:r>
            <w:proofErr w:type="spellStart"/>
            <w:r w:rsidRPr="008D3F20">
              <w:t>уч.процесса</w:t>
            </w:r>
            <w:proofErr w:type="spellEnd"/>
            <w:r w:rsidRPr="008D3F20">
              <w:t xml:space="preserve"> </w:t>
            </w:r>
          </w:p>
        </w:tc>
        <w:tc>
          <w:tcPr>
            <w:tcW w:w="2935" w:type="dxa"/>
            <w:gridSpan w:val="2"/>
          </w:tcPr>
          <w:p w:rsidR="008D3F20" w:rsidRPr="008D3F20" w:rsidRDefault="008D3F20">
            <w:pPr>
              <w:pStyle w:val="Default"/>
            </w:pPr>
            <w:r w:rsidRPr="008D3F20">
              <w:t xml:space="preserve">87 </w:t>
            </w:r>
          </w:p>
        </w:tc>
        <w:tc>
          <w:tcPr>
            <w:tcW w:w="2935" w:type="dxa"/>
            <w:gridSpan w:val="2"/>
          </w:tcPr>
          <w:p w:rsidR="008D3F20" w:rsidRPr="008D3F20" w:rsidRDefault="008D3F20">
            <w:pPr>
              <w:pStyle w:val="Default"/>
            </w:pPr>
            <w:r w:rsidRPr="008D3F20">
              <w:t xml:space="preserve">0 </w:t>
            </w:r>
          </w:p>
        </w:tc>
      </w:tr>
      <w:tr w:rsidR="008D3F20" w:rsidRPr="008D3F20" w:rsidTr="008D3F20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2935" w:type="dxa"/>
            <w:gridSpan w:val="2"/>
          </w:tcPr>
          <w:p w:rsidR="008D3F20" w:rsidRPr="008D3F20" w:rsidRDefault="008D3F20">
            <w:pPr>
              <w:pStyle w:val="Default"/>
            </w:pPr>
            <w:proofErr w:type="spellStart"/>
            <w:r w:rsidRPr="008D3F20">
              <w:t>Матер.-технич</w:t>
            </w:r>
            <w:proofErr w:type="spellEnd"/>
            <w:r w:rsidRPr="008D3F20">
              <w:t xml:space="preserve">. обеспечение </w:t>
            </w:r>
          </w:p>
        </w:tc>
        <w:tc>
          <w:tcPr>
            <w:tcW w:w="2935" w:type="dxa"/>
            <w:gridSpan w:val="2"/>
          </w:tcPr>
          <w:p w:rsidR="008D3F20" w:rsidRPr="008D3F20" w:rsidRDefault="008D3F20">
            <w:pPr>
              <w:pStyle w:val="Default"/>
              <w:rPr>
                <w:lang w:val="en-US"/>
              </w:rPr>
            </w:pPr>
            <w:r w:rsidRPr="008D3F20">
              <w:t>8</w:t>
            </w:r>
            <w:r w:rsidRPr="008D3F20">
              <w:rPr>
                <w:lang w:val="en-US"/>
              </w:rPr>
              <w:t>7</w:t>
            </w:r>
          </w:p>
        </w:tc>
        <w:tc>
          <w:tcPr>
            <w:tcW w:w="2935" w:type="dxa"/>
            <w:gridSpan w:val="2"/>
          </w:tcPr>
          <w:p w:rsidR="008D3F20" w:rsidRPr="008D3F20" w:rsidRDefault="008D3F20">
            <w:pPr>
              <w:pStyle w:val="Default"/>
              <w:rPr>
                <w:lang w:val="en-US"/>
              </w:rPr>
            </w:pPr>
            <w:r w:rsidRPr="008D3F20">
              <w:rPr>
                <w:lang w:val="en-US"/>
              </w:rPr>
              <w:t>0</w:t>
            </w:r>
          </w:p>
        </w:tc>
      </w:tr>
      <w:tr w:rsidR="008D3F20" w:rsidRPr="008D3F20" w:rsidTr="008D3F2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2935" w:type="dxa"/>
            <w:gridSpan w:val="2"/>
          </w:tcPr>
          <w:p w:rsidR="008D3F20" w:rsidRPr="008D3F20" w:rsidRDefault="008D3F20">
            <w:pPr>
              <w:pStyle w:val="Default"/>
            </w:pPr>
            <w:r w:rsidRPr="008D3F20">
              <w:rPr>
                <w:b/>
                <w:bCs/>
              </w:rPr>
              <w:t xml:space="preserve">Оценка </w:t>
            </w:r>
          </w:p>
        </w:tc>
        <w:tc>
          <w:tcPr>
            <w:tcW w:w="2935" w:type="dxa"/>
            <w:gridSpan w:val="2"/>
          </w:tcPr>
          <w:p w:rsidR="008D3F20" w:rsidRPr="008D3F20" w:rsidRDefault="008D3F20">
            <w:pPr>
              <w:pStyle w:val="Default"/>
            </w:pPr>
            <w:r w:rsidRPr="008D3F20">
              <w:rPr>
                <w:b/>
                <w:bCs/>
              </w:rPr>
              <w:t xml:space="preserve">Устраивает </w:t>
            </w:r>
          </w:p>
        </w:tc>
        <w:tc>
          <w:tcPr>
            <w:tcW w:w="2935" w:type="dxa"/>
            <w:gridSpan w:val="2"/>
          </w:tcPr>
          <w:p w:rsidR="008D3F20" w:rsidRPr="008D3F20" w:rsidRDefault="008D3F20">
            <w:pPr>
              <w:pStyle w:val="Default"/>
            </w:pPr>
            <w:r w:rsidRPr="008D3F20">
              <w:rPr>
                <w:b/>
                <w:bCs/>
              </w:rPr>
              <w:t xml:space="preserve">Не устраивает </w:t>
            </w:r>
          </w:p>
        </w:tc>
      </w:tr>
      <w:tr w:rsidR="008D3F20" w:rsidRPr="008D3F20" w:rsidTr="008D3F20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2935" w:type="dxa"/>
            <w:gridSpan w:val="2"/>
          </w:tcPr>
          <w:p w:rsidR="008D3F20" w:rsidRPr="008D3F20" w:rsidRDefault="008D3F20">
            <w:pPr>
              <w:pStyle w:val="Default"/>
            </w:pPr>
            <w:r w:rsidRPr="008D3F20">
              <w:t xml:space="preserve">Продолжит. 1-го занятия </w:t>
            </w:r>
          </w:p>
        </w:tc>
        <w:tc>
          <w:tcPr>
            <w:tcW w:w="2935" w:type="dxa"/>
            <w:gridSpan w:val="2"/>
          </w:tcPr>
          <w:p w:rsidR="008D3F20" w:rsidRPr="008D3F20" w:rsidRDefault="008D3F20" w:rsidP="008D3F20">
            <w:pPr>
              <w:pStyle w:val="Default"/>
              <w:rPr>
                <w:lang w:val="en-US"/>
              </w:rPr>
            </w:pPr>
            <w:r w:rsidRPr="008D3F20">
              <w:t>8</w:t>
            </w:r>
            <w:r w:rsidRPr="008D3F20">
              <w:rPr>
                <w:lang w:val="en-US"/>
              </w:rPr>
              <w:t>4</w:t>
            </w:r>
          </w:p>
        </w:tc>
        <w:tc>
          <w:tcPr>
            <w:tcW w:w="2935" w:type="dxa"/>
            <w:gridSpan w:val="2"/>
          </w:tcPr>
          <w:p w:rsidR="008D3F20" w:rsidRPr="008D3F20" w:rsidRDefault="008D3F20">
            <w:pPr>
              <w:pStyle w:val="Default"/>
              <w:rPr>
                <w:lang w:val="en-US"/>
              </w:rPr>
            </w:pPr>
            <w:r w:rsidRPr="008D3F20">
              <w:rPr>
                <w:lang w:val="en-US"/>
              </w:rPr>
              <w:t>3</w:t>
            </w:r>
          </w:p>
        </w:tc>
      </w:tr>
      <w:tr w:rsidR="008D3F20" w:rsidRPr="008D3F20" w:rsidTr="008D3F20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2935" w:type="dxa"/>
            <w:gridSpan w:val="2"/>
          </w:tcPr>
          <w:p w:rsidR="008D3F20" w:rsidRPr="008D3F20" w:rsidRDefault="008D3F20">
            <w:pPr>
              <w:pStyle w:val="Default"/>
            </w:pPr>
            <w:r w:rsidRPr="008D3F20">
              <w:t xml:space="preserve">Кол-во занятий в неделю </w:t>
            </w:r>
          </w:p>
        </w:tc>
        <w:tc>
          <w:tcPr>
            <w:tcW w:w="2935" w:type="dxa"/>
            <w:gridSpan w:val="2"/>
          </w:tcPr>
          <w:p w:rsidR="008D3F20" w:rsidRPr="008D3F20" w:rsidRDefault="008D3F20">
            <w:pPr>
              <w:pStyle w:val="Default"/>
            </w:pPr>
            <w:r w:rsidRPr="008D3F20">
              <w:t xml:space="preserve">85 </w:t>
            </w:r>
          </w:p>
        </w:tc>
        <w:tc>
          <w:tcPr>
            <w:tcW w:w="2935" w:type="dxa"/>
            <w:gridSpan w:val="2"/>
          </w:tcPr>
          <w:p w:rsidR="008D3F20" w:rsidRPr="008D3F20" w:rsidRDefault="008D3F20">
            <w:pPr>
              <w:pStyle w:val="Default"/>
            </w:pPr>
            <w:r w:rsidRPr="008D3F20">
              <w:t xml:space="preserve">2 </w:t>
            </w:r>
          </w:p>
        </w:tc>
      </w:tr>
    </w:tbl>
    <w:p w:rsidR="008D3F20" w:rsidRPr="008D3F20" w:rsidRDefault="008D3F20" w:rsidP="008D3F20">
      <w:pPr>
        <w:pStyle w:val="Default"/>
        <w:rPr>
          <w:b/>
          <w:bCs/>
        </w:rPr>
      </w:pPr>
    </w:p>
    <w:p w:rsidR="008D3F20" w:rsidRPr="008D3F20" w:rsidRDefault="008D3F20" w:rsidP="008D3F20">
      <w:pPr>
        <w:pStyle w:val="Default"/>
      </w:pPr>
      <w:r w:rsidRPr="008D3F20">
        <w:rPr>
          <w:b/>
          <w:bCs/>
        </w:rPr>
        <w:t xml:space="preserve">III. Задачи развития на 2019/2020 учебный год </w:t>
      </w:r>
    </w:p>
    <w:p w:rsidR="008D3F20" w:rsidRPr="008D3F20" w:rsidRDefault="008D3F20" w:rsidP="008D3F20">
      <w:pPr>
        <w:pStyle w:val="Default"/>
      </w:pPr>
      <w:r w:rsidRPr="008D3F20">
        <w:t xml:space="preserve">На основании анализа работы в 2018/2019 учебном году администрацией и педагогическим коллективом Учреждения был определен следующий круг задач для дальнейшей работы: </w:t>
      </w:r>
    </w:p>
    <w:p w:rsidR="008D3F20" w:rsidRPr="008D3F20" w:rsidRDefault="008D3F20" w:rsidP="008D3F20">
      <w:pPr>
        <w:pStyle w:val="Default"/>
      </w:pPr>
      <w:r w:rsidRPr="008D3F20">
        <w:t xml:space="preserve">1. Продолжить работу по совершенствованию преподавания и повышению качества обучения на основе применения новых технологий и традиционных форм обучения. </w:t>
      </w:r>
    </w:p>
    <w:p w:rsidR="008D3F20" w:rsidRPr="008D3F20" w:rsidRDefault="008D3F20" w:rsidP="008D3F20">
      <w:pPr>
        <w:pStyle w:val="Default"/>
      </w:pPr>
      <w:r w:rsidRPr="008D3F20">
        <w:t xml:space="preserve">2. Продолжить работу по обобщению и распространению передового опыта и педагогического мастерства преподавателей. </w:t>
      </w:r>
    </w:p>
    <w:p w:rsidR="008D3F20" w:rsidRPr="008D3F20" w:rsidRDefault="008D3F20" w:rsidP="008D3F20">
      <w:pPr>
        <w:pStyle w:val="Default"/>
      </w:pPr>
      <w:r w:rsidRPr="008D3F20">
        <w:t>3. Продолжить работу по изучению и внедрению методик и приемов, позволяющих качественно организовать обучение.</w:t>
      </w:r>
    </w:p>
    <w:p w:rsidR="008D3F20" w:rsidRPr="008D3F20" w:rsidRDefault="008D3F20" w:rsidP="008D3F20">
      <w:pPr>
        <w:pStyle w:val="Default"/>
      </w:pPr>
    </w:p>
    <w:sectPr w:rsidR="008D3F20" w:rsidRPr="008D3F20" w:rsidSect="000D3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D3F20"/>
    <w:rsid w:val="000D3756"/>
    <w:rsid w:val="007B0684"/>
    <w:rsid w:val="008D3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3F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D3F20"/>
    <w:rPr>
      <w:color w:val="0000FF"/>
      <w:u w:val="single"/>
    </w:rPr>
  </w:style>
  <w:style w:type="character" w:styleId="a4">
    <w:name w:val="Emphasis"/>
    <w:basedOn w:val="a0"/>
    <w:uiPriority w:val="20"/>
    <w:qFormat/>
    <w:rsid w:val="008D3F2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lyglot.profi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1092</Words>
  <Characters>6226</Characters>
  <Application>Microsoft Office Word</Application>
  <DocSecurity>0</DocSecurity>
  <Lines>51</Lines>
  <Paragraphs>14</Paragraphs>
  <ScaleCrop>false</ScaleCrop>
  <Company/>
  <LinksUpToDate>false</LinksUpToDate>
  <CharactersWithSpaces>7304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 Safonova</dc:creator>
  <cp:lastModifiedBy>Natali Safonova</cp:lastModifiedBy>
  <cp:revision>1</cp:revision>
  <dcterms:created xsi:type="dcterms:W3CDTF">2020-02-12T09:18:00Z</dcterms:created>
  <dcterms:modified xsi:type="dcterms:W3CDTF">2020-02-12T11:15:00Z</dcterms:modified>
</cp:coreProperties>
</file>